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after="0" w:before="0"/>
        <w:shd w:val="clear" w:color="FFFFFF"/>
        <w:rPr>
          <w:rFonts w:ascii="Arial" w:hAnsi="Arial" w:cs="Arial" w:eastAsia="Arial"/>
          <w:sz w:val="2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color w:val="1A254C"/>
          <w:sz w:val="21"/>
          <w:highlight w:val="none"/>
        </w:rPr>
        <w:t xml:space="preserve">Publications</w:t>
      </w:r>
      <w:r>
        <w:rPr>
          <w:rFonts w:ascii="Arial" w:hAnsi="Arial" w:cs="Arial" w:eastAsia="Arial"/>
          <w:color w:val="1A254C"/>
          <w:sz w:val="21"/>
          <w:highlight w:val="none"/>
        </w:rPr>
      </w:r>
      <w:r/>
    </w:p>
    <w:p>
      <w:pPr>
        <w:ind w:left="0" w:right="0" w:firstLine="0"/>
        <w:spacing w:after="0" w:before="0"/>
        <w:shd w:val="clear" w:color="FFFFFF"/>
        <w:rPr>
          <w:rFonts w:ascii="Arial" w:hAnsi="Arial" w:cs="Arial" w:eastAsia="Arial"/>
          <w:color w:val="1A254C"/>
          <w:sz w:val="21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1A254C"/>
          <w:sz w:val="21"/>
          <w:highlight w:val="white"/>
        </w:rPr>
        <w:t xml:space="preserve">Spitale G, Merten S, Jafflin K, Schwind B, Kaiser-Grolimund A, Biller-Andorno N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1A254C"/>
          <w:sz w:val="21"/>
          <w:highlight w:val="white"/>
        </w:rPr>
        <w:t xml:space="preserve">A Novel Risk and Crisis Communication Platform to Bridge the Gap Between Policy Makers and the Public in the Context of the COVID-19 Crisis (PubliCo): Protocol for a Mixed Methods Study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1A254C"/>
          <w:sz w:val="21"/>
          <w:highlight w:val="white"/>
        </w:rPr>
        <w:t xml:space="preserve">JMIR Res Protoc 2021;10(11):e33653</w:t>
      </w:r>
      <w:r/>
    </w:p>
    <w:p>
      <w:pPr>
        <w:rPr>
          <w:highlight w:val="none"/>
        </w:rPr>
      </w:pPr>
      <w:r>
        <w:rPr>
          <w:rFonts w:ascii="Arial" w:hAnsi="Arial" w:cs="Arial" w:eastAsia="Arial"/>
          <w:color w:val="1A254C"/>
          <w:sz w:val="21"/>
          <w:highlight w:val="white"/>
        </w:rPr>
        <w:t xml:space="preserve">doi: </w:t>
      </w:r>
      <w:hyperlink r:id="rId9" w:tooltip="https://doi.org/10.2196/33653" w:history="1">
        <w:r>
          <w:rPr>
            <w:rStyle w:val="792"/>
            <w:rFonts w:ascii="Arial" w:hAnsi="Arial" w:cs="Arial" w:eastAsia="Arial"/>
            <w:color w:val="1E70C2"/>
            <w:sz w:val="21"/>
            <w:highlight w:val="white"/>
          </w:rPr>
          <w:t xml:space="preserve">10.2196/33653</w:t>
        </w:r>
      </w:hyperlink>
      <w:r/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1A254C"/>
          <w:sz w:val="21"/>
          <w:highlight w:val="white"/>
        </w:rPr>
        <w:t xml:space="preserve">Spitale G, Biller-Andorno N, Germani F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1A254C"/>
          <w:sz w:val="21"/>
          <w:highlight w:val="white"/>
        </w:rPr>
        <w:t xml:space="preserve">Concerns Around Opposition to the Green Pass in Italy: Social Listening Analysis by Using a Mixed Methods Approach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1A254C"/>
          <w:sz w:val="21"/>
          <w:highlight w:val="white"/>
        </w:rPr>
        <w:t xml:space="preserve">J Med Internet Res 2022;24(2):e34385</w:t>
      </w:r>
      <w:r/>
    </w:p>
    <w:p>
      <w:pPr>
        <w:rPr>
          <w:highlight w:val="none"/>
        </w:rPr>
      </w:pPr>
      <w:r>
        <w:rPr>
          <w:rFonts w:ascii="Arial" w:hAnsi="Arial" w:cs="Arial" w:eastAsia="Arial"/>
          <w:color w:val="1A254C"/>
          <w:sz w:val="21"/>
          <w:highlight w:val="white"/>
        </w:rPr>
        <w:t xml:space="preserve">doi: </w:t>
      </w:r>
      <w:hyperlink r:id="rId10" w:tooltip="https://doi.org/10.2196/34385" w:history="1">
        <w:r>
          <w:rPr>
            <w:rStyle w:val="792"/>
            <w:rFonts w:ascii="Arial" w:hAnsi="Arial" w:cs="Arial" w:eastAsia="Arial"/>
            <w:color w:val="1E70C2"/>
            <w:sz w:val="21"/>
            <w:highlight w:val="white"/>
          </w:rPr>
          <w:t xml:space="preserve">10.2196/34385</w:t>
        </w:r>
      </w:hyperlink>
      <w:r>
        <w:rPr>
          <w:highlight w:val="none"/>
        </w:rPr>
      </w:r>
      <w:r/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rPr>
          <w:highlight w:val="none"/>
        </w:rPr>
      </w:pPr>
      <w:r>
        <w:rPr>
          <w:b/>
          <w:highlight w:val="none"/>
        </w:rPr>
        <w:t xml:space="preserve">Preprints</w:t>
      </w:r>
      <w:r>
        <w:rPr>
          <w:highlight w:val="none"/>
        </w:rPr>
      </w:r>
      <w:r/>
    </w:p>
    <w:p>
      <w:pPr>
        <w:rPr>
          <w:rFonts w:ascii="Arial" w:hAnsi="Arial" w:cs="Arial" w:eastAsia="Arial"/>
          <w:color w:val="333333"/>
          <w:sz w:val="21"/>
          <w:highlight w:val="none"/>
        </w:rPr>
      </w:pPr>
      <w:r>
        <w:rPr>
          <w:highlight w:val="none"/>
        </w:rPr>
      </w:r>
      <w:r>
        <w:rPr>
          <w:rFonts w:ascii="Arial" w:hAnsi="Arial" w:cs="Arial" w:eastAsia="Arial"/>
          <w:color w:val="333333"/>
          <w:sz w:val="21"/>
        </w:rPr>
        <w:t xml:space="preserve">Spitale, Giovanni, Germani, Federico, &amp; Biller-Andorno, Nikola. (2022). The PHERCC matrix. An ethical framework for planning, governing, and evaluating Risk and Crisis Communication in the context of Public Health Emergencies (Version 10). Zenodo. </w:t>
      </w:r>
      <w:hyperlink r:id="rId11" w:tooltip="https://doi.org/10.5281/zenodo.6559205" w:history="1">
        <w:r>
          <w:rPr>
            <w:rStyle w:val="792"/>
            <w:rFonts w:ascii="Arial" w:hAnsi="Arial" w:cs="Arial" w:eastAsia="Arial"/>
            <w:sz w:val="21"/>
          </w:rPr>
          <w:t xml:space="preserve">https://</w:t>
        </w:r>
        <w:r>
          <w:rPr>
            <w:rStyle w:val="792"/>
            <w:rFonts w:ascii="Arial" w:hAnsi="Arial" w:cs="Arial" w:eastAsia="Arial"/>
            <w:sz w:val="21"/>
          </w:rPr>
          <w:t xml:space="preserve">doi.org/10.5281/zenodo.6559205</w:t>
        </w:r>
        <w:r>
          <w:rPr>
            <w:rStyle w:val="792"/>
            <w:highlight w:val="none"/>
          </w:rPr>
        </w:r>
        <w:r>
          <w:rPr>
            <w:rStyle w:val="792"/>
            <w:highlight w:val="none"/>
          </w:rPr>
        </w:r>
      </w:hyperlink>
      <w:r>
        <w:rPr>
          <w:highlight w:val="none"/>
        </w:rPr>
      </w:r>
      <w:r/>
    </w:p>
    <w:p>
      <w:pPr>
        <w:rPr>
          <w:rFonts w:ascii="Arial" w:hAnsi="Arial" w:cs="Arial" w:eastAsia="Arial"/>
          <w:sz w:val="21"/>
        </w:rPr>
      </w:pPr>
      <w:r>
        <w:rPr>
          <w:rFonts w:ascii="Arial" w:hAnsi="Arial" w:cs="Arial" w:eastAsia="Arial"/>
          <w:sz w:val="21"/>
        </w:rPr>
      </w:r>
      <w:r>
        <w:rPr>
          <w:rFonts w:ascii="Arial" w:hAnsi="Arial" w:cs="Arial" w:eastAsia="Arial"/>
          <w:sz w:val="21"/>
        </w:rPr>
      </w:r>
      <w:r/>
    </w:p>
    <w:p>
      <w:pPr>
        <w:rPr>
          <w:rFonts w:ascii="Arial" w:hAnsi="Arial" w:cs="Arial" w:eastAsia="Arial"/>
          <w:sz w:val="21"/>
          <w:highlight w:val="none"/>
        </w:rPr>
      </w:pPr>
      <w:r>
        <w:rPr>
          <w:rFonts w:ascii="Arial" w:hAnsi="Arial" w:cs="Arial" w:eastAsia="Arial"/>
          <w:b/>
          <w:sz w:val="21"/>
        </w:rPr>
        <w:t xml:space="preserve">Datasets</w:t>
      </w:r>
      <w:r>
        <w:rPr>
          <w:rFonts w:ascii="Arial" w:hAnsi="Arial" w:cs="Arial" w:eastAsia="Arial"/>
          <w:sz w:val="21"/>
        </w:rPr>
      </w:r>
      <w:r/>
    </w:p>
    <w:p>
      <w:pPr>
        <w:rPr>
          <w:rFonts w:ascii="Arial" w:hAnsi="Arial" w:cs="Arial" w:eastAsia="Arial"/>
          <w:color w:val="333333"/>
          <w:sz w:val="21"/>
          <w:highlight w:val="none"/>
        </w:rPr>
      </w:pPr>
      <w:r>
        <w:rPr>
          <w:rFonts w:ascii="Arial" w:hAnsi="Arial" w:cs="Arial" w:eastAsia="Arial"/>
          <w:sz w:val="21"/>
          <w:highlight w:val="none"/>
        </w:rPr>
      </w:r>
      <w:r>
        <w:rPr>
          <w:rFonts w:ascii="Arial" w:hAnsi="Arial" w:cs="Arial" w:eastAsia="Arial"/>
          <w:color w:val="333333"/>
          <w:sz w:val="21"/>
        </w:rPr>
        <w:t xml:space="preserve">Giovanni Spitale, Nikola Biller-Andorno, Kristen Jafflin, &amp; Sonja Merten. (2020). Google Trends normalized hits for COVID-19 generated in Switzerland (Version 2) [Data set]. Zenodo. </w:t>
      </w:r>
      <w:hyperlink r:id="rId12" w:tooltip="https://doi.org/10.5281/zenodo.5012680" w:history="1">
        <w:r>
          <w:rPr>
            <w:rStyle w:val="792"/>
            <w:rFonts w:ascii="Arial" w:hAnsi="Arial" w:cs="Arial" w:eastAsia="Arial"/>
            <w:sz w:val="21"/>
          </w:rPr>
          <w:t xml:space="preserve">https://doi.org/10.5281/zenodo.5012680</w:t>
        </w:r>
        <w:r>
          <w:rPr>
            <w:rStyle w:val="792"/>
            <w:rFonts w:ascii="Arial" w:hAnsi="Arial" w:cs="Arial" w:eastAsia="Arial"/>
            <w:sz w:val="21"/>
            <w:highlight w:val="none"/>
          </w:rPr>
        </w:r>
        <w:r>
          <w:rPr>
            <w:rStyle w:val="792"/>
            <w:rFonts w:ascii="Arial" w:hAnsi="Arial" w:cs="Arial" w:eastAsia="Arial"/>
            <w:sz w:val="21"/>
            <w:highlight w:val="none"/>
          </w:rPr>
        </w:r>
      </w:hyperlink>
      <w:r>
        <w:rPr>
          <w:rFonts w:ascii="Arial" w:hAnsi="Arial" w:cs="Arial" w:eastAsia="Arial"/>
          <w:sz w:val="21"/>
          <w:highlight w:val="none"/>
        </w:rPr>
      </w:r>
      <w:r/>
    </w:p>
    <w:p>
      <w:pPr>
        <w:rPr>
          <w:highlight w:val="none"/>
        </w:rPr>
      </w:pPr>
      <w:r>
        <w:rPr>
          <w:rFonts w:ascii="Arial" w:hAnsi="Arial" w:cs="Arial" w:eastAsia="Arial"/>
          <w:color w:val="333333"/>
          <w:sz w:val="21"/>
          <w:highlight w:val="none"/>
        </w:rPr>
      </w:r>
      <w:r>
        <w:rPr>
          <w:rFonts w:ascii="Arial" w:hAnsi="Arial" w:cs="Arial" w:eastAsia="Arial"/>
          <w:color w:val="333333"/>
          <w:sz w:val="21"/>
        </w:rPr>
        <w:t xml:space="preserve">Giovanni Spitale. (2020). Lemmas and Named Entities analysis in major media outlets regarding Switzerland and Covid-19 (2.0.0) [Data set]. Zenodo. </w:t>
      </w:r>
      <w:hyperlink r:id="rId13" w:tooltip="https://doi.org/10.5281/zenodo.4792778" w:history="1">
        <w:r>
          <w:rPr>
            <w:rStyle w:val="792"/>
            <w:rFonts w:ascii="Arial" w:hAnsi="Arial" w:cs="Arial" w:eastAsia="Arial"/>
            <w:sz w:val="21"/>
          </w:rPr>
          <w:t xml:space="preserve">https://doi.org/10.5281/zenodo.4792778</w:t>
        </w:r>
        <w:r>
          <w:rPr>
            <w:rStyle w:val="792"/>
            <w:rFonts w:ascii="Arial" w:hAnsi="Arial" w:cs="Arial" w:eastAsia="Arial"/>
            <w:sz w:val="21"/>
            <w:highlight w:val="none"/>
          </w:rPr>
        </w:r>
        <w:r>
          <w:rPr>
            <w:rStyle w:val="792"/>
            <w:rFonts w:ascii="Arial" w:hAnsi="Arial" w:cs="Arial" w:eastAsia="Arial"/>
            <w:sz w:val="21"/>
            <w:highlight w:val="none"/>
          </w:rPr>
        </w:r>
      </w:hyperlink>
      <w:r>
        <w:rPr>
          <w:rFonts w:ascii="Arial" w:hAnsi="Arial" w:cs="Arial" w:eastAsia="Arial"/>
          <w:color w:val="333333"/>
          <w:sz w:val="21"/>
          <w:highlight w:val="none"/>
        </w:rPr>
      </w:r>
      <w:r/>
    </w:p>
    <w:p>
      <w:pPr>
        <w:rPr>
          <w:rFonts w:ascii="Arial" w:hAnsi="Arial" w:cs="Arial" w:eastAsia="Arial"/>
          <w:color w:val="333333"/>
          <w:sz w:val="21"/>
          <w:highlight w:val="none"/>
        </w:rPr>
      </w:pPr>
      <w:r>
        <w:rPr>
          <w:highlight w:val="none"/>
        </w:rPr>
      </w:r>
      <w:r>
        <w:t xml:space="preserve">NIH Office of Behavioral and Social Sciences Research (OBSSR). </w:t>
      </w:r>
      <w:r>
        <w:t xml:space="preserve">COVID-19 OBSSR Research Tools. </w:t>
      </w:r>
      <w:r>
        <w:rPr>
          <w:highlight w:val="none"/>
        </w:rPr>
      </w:r>
      <w:hyperlink r:id="rId14" w:tooltip="https://www.nlm.nih.gov/dr2/COVID-19_BSSR_Research_Tools.pdf" w:history="1">
        <w:r>
          <w:rPr>
            <w:rStyle w:val="792"/>
            <w:highlight w:val="none"/>
          </w:rPr>
          <w:t xml:space="preserve">https://www.nlm.nih.gov/dr2/COVID-19_BSSR_Research_Tools.pdf</w:t>
        </w:r>
      </w:hyperlink>
      <w:r>
        <w:rPr>
          <w:highlight w:val="none"/>
        </w:rPr>
        <w:t xml:space="preserve"> </w:t>
      </w:r>
      <w:r>
        <w:rPr>
          <w:highlight w:val="none"/>
        </w:rPr>
      </w:r>
      <w:r/>
    </w:p>
    <w:p>
      <w:pPr>
        <w:rPr>
          <w:rFonts w:ascii="Arial" w:hAnsi="Arial" w:cs="Arial" w:eastAsia="Arial"/>
          <w:sz w:val="21"/>
        </w:rPr>
      </w:pPr>
      <w:r>
        <w:rPr>
          <w:rFonts w:ascii="Arial" w:hAnsi="Arial" w:cs="Arial" w:eastAsia="Arial"/>
          <w:sz w:val="21"/>
        </w:rPr>
      </w:r>
      <w:r>
        <w:rPr>
          <w:rFonts w:ascii="Arial" w:hAnsi="Arial" w:cs="Arial" w:eastAsia="Arial"/>
          <w:sz w:val="21"/>
        </w:rPr>
      </w:r>
      <w:r/>
    </w:p>
    <w:p>
      <w:pPr>
        <w:rPr>
          <w:rFonts w:ascii="Arial" w:hAnsi="Arial" w:cs="Arial" w:eastAsia="Arial"/>
          <w:color w:val="333333"/>
          <w:sz w:val="21"/>
          <w:highlight w:val="none"/>
        </w:rPr>
      </w:pPr>
      <w:r>
        <w:rPr>
          <w:rFonts w:ascii="Arial" w:hAnsi="Arial" w:cs="Arial" w:eastAsia="Arial"/>
          <w:b/>
          <w:color w:val="333333"/>
          <w:sz w:val="21"/>
          <w:highlight w:val="none"/>
        </w:rPr>
        <w:t xml:space="preserve">Software</w:t>
      </w:r>
      <w:r>
        <w:rPr>
          <w:rFonts w:ascii="Arial" w:hAnsi="Arial" w:cs="Arial" w:eastAsia="Arial"/>
          <w:color w:val="333333"/>
          <w:sz w:val="21"/>
          <w:highlight w:val="none"/>
        </w:rPr>
      </w:r>
      <w:r/>
    </w:p>
    <w:p>
      <w:pPr>
        <w:rPr>
          <w:rFonts w:ascii="Arial" w:hAnsi="Arial" w:cs="Arial" w:eastAsia="Arial"/>
          <w:color w:val="333333"/>
          <w:sz w:val="21"/>
          <w:highlight w:val="none"/>
        </w:rPr>
      </w:pPr>
      <w:r>
        <w:rPr>
          <w:rFonts w:ascii="Arial" w:hAnsi="Arial" w:cs="Arial" w:eastAsia="Arial"/>
          <w:color w:val="333333"/>
          <w:sz w:val="21"/>
          <w:highlight w:val="none"/>
        </w:rPr>
      </w:r>
      <w:r>
        <w:rPr>
          <w:rFonts w:ascii="Arial" w:hAnsi="Arial" w:cs="Arial" w:eastAsia="Arial"/>
          <w:color w:val="333333"/>
          <w:sz w:val="21"/>
        </w:rPr>
        <w:t xml:space="preserve">Giovanni Spitale. (2020). Factiva parser and NLP pipeline for news articles related to COVID-19 (2.0.0). Zenodo. </w:t>
      </w:r>
      <w:hyperlink r:id="rId15" w:tooltip="https://doi.org/10.5281/zenodo.4792669" w:history="1">
        <w:r>
          <w:rPr>
            <w:rStyle w:val="792"/>
            <w:rFonts w:ascii="Arial" w:hAnsi="Arial" w:cs="Arial" w:eastAsia="Arial"/>
            <w:sz w:val="21"/>
          </w:rPr>
          <w:t xml:space="preserve">https://doi.org/10.5281/zenodo.4792669</w:t>
        </w:r>
        <w:r>
          <w:rPr>
            <w:rStyle w:val="792"/>
            <w:rFonts w:ascii="Arial" w:hAnsi="Arial" w:cs="Arial" w:eastAsia="Arial"/>
            <w:sz w:val="21"/>
            <w:highlight w:val="none"/>
          </w:rPr>
        </w:r>
        <w:r>
          <w:rPr>
            <w:rStyle w:val="792"/>
            <w:rFonts w:ascii="Arial" w:hAnsi="Arial" w:cs="Arial" w:eastAsia="Arial"/>
            <w:sz w:val="21"/>
            <w:highlight w:val="none"/>
          </w:rPr>
        </w:r>
      </w:hyperlink>
      <w:r>
        <w:rPr>
          <w:rFonts w:ascii="Arial" w:hAnsi="Arial" w:cs="Arial" w:eastAsia="Arial"/>
          <w:color w:val="333333"/>
          <w:sz w:val="21"/>
          <w:highlight w:val="none"/>
        </w:rPr>
      </w:r>
      <w:r/>
    </w:p>
    <w:p>
      <w:pPr>
        <w:rPr>
          <w:rFonts w:ascii="Arial" w:hAnsi="Arial" w:cs="Arial" w:eastAsia="Arial"/>
          <w:color w:val="333333"/>
          <w:sz w:val="21"/>
          <w:highlight w:val="none"/>
        </w:rPr>
      </w:pPr>
      <w:r>
        <w:rPr>
          <w:rFonts w:ascii="Arial" w:hAnsi="Arial" w:cs="Arial" w:eastAsia="Arial"/>
          <w:color w:val="333333"/>
          <w:sz w:val="21"/>
          <w:highlight w:val="none"/>
        </w:rPr>
      </w:r>
      <w:r>
        <w:rPr>
          <w:rFonts w:ascii="Arial" w:hAnsi="Arial" w:cs="Arial" w:eastAsia="Arial"/>
          <w:color w:val="333333"/>
          <w:sz w:val="21"/>
        </w:rPr>
        <w:t xml:space="preserve">Giovanni Spitale, Federico Germani, &amp; Nikola Biller - Andorno. (2021). The TSL machine: parser, lemma analysis, sentiment analysis and autocoding for Telegram chats (1.0.1). Zenodo. </w:t>
      </w:r>
      <w:hyperlink r:id="rId16" w:tooltip="https://doi.org/10.5281/zenodo.5534045" w:history="1">
        <w:r>
          <w:rPr>
            <w:rStyle w:val="792"/>
            <w:rFonts w:ascii="Arial" w:hAnsi="Arial" w:cs="Arial" w:eastAsia="Arial"/>
            <w:sz w:val="21"/>
          </w:rPr>
          <w:t xml:space="preserve">https://doi.org/10.5281/zenodo.5534045</w:t>
        </w:r>
        <w:r>
          <w:rPr>
            <w:rStyle w:val="792"/>
            <w:rFonts w:ascii="Arial" w:hAnsi="Arial" w:cs="Arial" w:eastAsia="Arial"/>
            <w:sz w:val="21"/>
            <w:highlight w:val="none"/>
          </w:rPr>
        </w:r>
        <w:r>
          <w:rPr>
            <w:rStyle w:val="792"/>
            <w:rFonts w:ascii="Arial" w:hAnsi="Arial" w:cs="Arial" w:eastAsia="Arial"/>
            <w:sz w:val="21"/>
            <w:highlight w:val="none"/>
          </w:rPr>
        </w:r>
      </w:hyperlink>
      <w:r>
        <w:rPr>
          <w:rFonts w:ascii="Arial" w:hAnsi="Arial" w:cs="Arial" w:eastAsia="Arial"/>
          <w:color w:val="333333"/>
          <w:sz w:val="21"/>
          <w:highlight w:val="none"/>
        </w:rPr>
      </w:r>
      <w:r/>
    </w:p>
    <w:p>
      <w:pPr>
        <w:rPr>
          <w:rFonts w:ascii="Arial" w:hAnsi="Arial" w:cs="Arial" w:eastAsia="Arial"/>
          <w:color w:val="333333"/>
          <w:sz w:val="21"/>
          <w:highlight w:val="none"/>
        </w:rPr>
      </w:pPr>
      <w:r>
        <w:rPr>
          <w:rFonts w:ascii="Arial" w:hAnsi="Arial" w:cs="Arial" w:eastAsia="Arial"/>
          <w:color w:val="333333"/>
          <w:sz w:val="21"/>
          <w:highlight w:val="none"/>
        </w:rPr>
      </w:r>
      <w:hyperlink r:id="rId17" w:tooltip="http://www.publico.community" w:history="1">
        <w:r>
          <w:rPr>
            <w:rStyle w:val="792"/>
            <w:rFonts w:ascii="Arial" w:hAnsi="Arial" w:cs="Arial" w:eastAsia="Arial"/>
            <w:sz w:val="21"/>
            <w:highlight w:val="none"/>
          </w:rPr>
          <w:t xml:space="preserve">www.publico.community</w:t>
        </w:r>
      </w:hyperlink>
      <w:r>
        <w:rPr>
          <w:rFonts w:ascii="Arial" w:hAnsi="Arial" w:cs="Arial" w:eastAsia="Arial"/>
          <w:color w:val="333333"/>
          <w:sz w:val="21"/>
          <w:highlight w:val="none"/>
        </w:rPr>
        <w:t xml:space="preserve"> </w:t>
      </w:r>
      <w:r>
        <w:rPr>
          <w:rFonts w:ascii="Arial" w:hAnsi="Arial" w:cs="Arial" w:eastAsia="Arial"/>
          <w:color w:val="333333"/>
          <w:sz w:val="21"/>
          <w:highlight w:val="none"/>
        </w:rPr>
      </w:r>
      <w:r/>
    </w:p>
    <w:p>
      <w:pPr>
        <w:rPr>
          <w:rFonts w:ascii="Arial" w:hAnsi="Arial" w:cs="Arial" w:eastAsia="Arial"/>
          <w:sz w:val="21"/>
        </w:rPr>
      </w:pPr>
      <w:r>
        <w:rPr>
          <w:rFonts w:ascii="Arial" w:hAnsi="Arial" w:cs="Arial" w:eastAsia="Arial"/>
          <w:sz w:val="21"/>
        </w:rPr>
      </w:r>
      <w:r>
        <w:rPr>
          <w:rFonts w:ascii="Arial" w:hAnsi="Arial" w:cs="Arial" w:eastAsia="Arial"/>
          <w:sz w:val="21"/>
        </w:rPr>
      </w:r>
    </w:p>
    <w:p>
      <w:pPr>
        <w:rPr>
          <w:rFonts w:ascii="Arial" w:hAnsi="Arial" w:cs="Arial" w:eastAsia="Arial"/>
          <w:color w:val="333333"/>
          <w:sz w:val="21"/>
          <w:highlight w:val="none"/>
        </w:rPr>
      </w:pPr>
      <w:r>
        <w:rPr>
          <w:rFonts w:ascii="Arial" w:hAnsi="Arial" w:cs="Arial" w:eastAsia="Arial"/>
          <w:color w:val="333333"/>
          <w:sz w:val="21"/>
          <w:highlight w:val="none"/>
        </w:rPr>
      </w:r>
      <w:r>
        <w:rPr>
          <w:rFonts w:ascii="Arial" w:hAnsi="Arial" w:cs="Arial" w:eastAsia="Arial"/>
          <w:b/>
          <w:color w:val="333333"/>
          <w:sz w:val="21"/>
          <w:highlight w:val="none"/>
        </w:rPr>
        <w:t xml:space="preserve">Contacts</w:t>
      </w:r>
      <w:r/>
    </w:p>
    <w:p>
      <w:pPr>
        <w:rPr>
          <w:rFonts w:ascii="Arial" w:hAnsi="Arial" w:cs="Arial" w:eastAsia="Arial"/>
          <w:color w:val="333333"/>
          <w:sz w:val="21"/>
          <w:highlight w:val="none"/>
        </w:rPr>
      </w:pPr>
      <w:r>
        <w:rPr>
          <w:rFonts w:ascii="Arial" w:hAnsi="Arial" w:cs="Arial" w:eastAsia="Arial"/>
          <w:color w:val="333333"/>
          <w:sz w:val="21"/>
          <w:highlight w:val="none"/>
        </w:rPr>
      </w:r>
      <w:r/>
      <w:hyperlink r:id="rId18" w:tooltip="https://www.ibme.uzh.ch/en/Biomedical-Ethics/Team/Chair-and-Secretariat/biller-andorno.html" w:history="1">
        <w:r>
          <w:rPr>
            <w:rStyle w:val="792"/>
            <w:rFonts w:ascii="Arial" w:hAnsi="Arial" w:cs="Arial" w:eastAsia="Arial"/>
            <w:sz w:val="21"/>
            <w:highlight w:val="none"/>
          </w:rPr>
          <w:t xml:space="preserve">Nikola Biller-Andorno</w:t>
        </w:r>
      </w:hyperlink>
      <w:r/>
      <w:r>
        <w:rPr>
          <w:rFonts w:ascii="Arial" w:hAnsi="Arial" w:cs="Arial" w:eastAsia="Arial"/>
          <w:color w:val="333333"/>
          <w:sz w:val="21"/>
          <w:highlight w:val="none"/>
        </w:rPr>
      </w:r>
      <w:r>
        <w:rPr>
          <w:rFonts w:ascii="Arial" w:hAnsi="Arial" w:cs="Arial" w:eastAsia="Arial"/>
          <w:color w:val="333333"/>
          <w:sz w:val="21"/>
          <w:highlight w:val="none"/>
        </w:rPr>
      </w:r>
    </w:p>
    <w:p>
      <w:pPr>
        <w:rPr>
          <w:rFonts w:ascii="Arial" w:hAnsi="Arial" w:cs="Arial" w:eastAsia="Arial"/>
          <w:color w:val="333333"/>
          <w:sz w:val="21"/>
          <w:highlight w:val="none"/>
        </w:rPr>
      </w:pPr>
      <w:r>
        <w:rPr>
          <w:rFonts w:ascii="Arial" w:hAnsi="Arial" w:cs="Arial" w:eastAsia="Arial"/>
          <w:color w:val="333333"/>
          <w:sz w:val="21"/>
          <w:highlight w:val="none"/>
        </w:rPr>
      </w:r>
      <w:r/>
      <w:hyperlink r:id="rId19" w:tooltip="https://www.ibme.uzh.ch/en/Biomedical-Ethics/Team/Research-Fellows/Federico-Germani.html" w:history="1">
        <w:r>
          <w:rPr>
            <w:rStyle w:val="792"/>
            <w:rFonts w:ascii="Arial" w:hAnsi="Arial" w:cs="Arial" w:eastAsia="Arial"/>
            <w:sz w:val="21"/>
            <w:highlight w:val="none"/>
          </w:rPr>
          <w:t xml:space="preserve">Federico Germani</w:t>
        </w:r>
      </w:hyperlink>
      <w:r/>
      <w:r>
        <w:rPr>
          <w:rFonts w:ascii="Arial" w:hAnsi="Arial" w:cs="Arial" w:eastAsia="Arial"/>
          <w:color w:val="333333"/>
          <w:sz w:val="21"/>
          <w:highlight w:val="none"/>
        </w:rPr>
      </w:r>
      <w:r>
        <w:rPr>
          <w:rFonts w:ascii="Arial" w:hAnsi="Arial" w:cs="Arial" w:eastAsia="Arial"/>
          <w:color w:val="333333"/>
          <w:sz w:val="21"/>
          <w:highlight w:val="none"/>
        </w:rPr>
      </w:r>
    </w:p>
    <w:p>
      <w:pPr>
        <w:rPr>
          <w:rFonts w:ascii="Arial" w:hAnsi="Arial" w:cs="Arial" w:eastAsia="Arial"/>
          <w:color w:val="333333"/>
          <w:sz w:val="21"/>
          <w:highlight w:val="none"/>
        </w:rPr>
      </w:pPr>
      <w:r>
        <w:rPr>
          <w:rFonts w:ascii="Arial" w:hAnsi="Arial" w:cs="Arial" w:eastAsia="Arial"/>
          <w:color w:val="333333"/>
          <w:sz w:val="21"/>
          <w:highlight w:val="none"/>
        </w:rPr>
      </w:r>
      <w:hyperlink r:id="rId20" w:tooltip="https://www.ibme.uzh.ch/en/Biomedical-Ethics/Team/PhD-Students/Current/MAIN-Giovanni-Spitale.html" w:history="1">
        <w:r>
          <w:rPr>
            <w:rStyle w:val="792"/>
            <w:rFonts w:ascii="Arial" w:hAnsi="Arial" w:cs="Arial" w:eastAsia="Arial"/>
            <w:sz w:val="21"/>
            <w:highlight w:val="none"/>
          </w:rPr>
          <w:t xml:space="preserve">Giovanni Spitale</w:t>
        </w:r>
      </w:hyperlink>
      <w:r>
        <w:rPr>
          <w:rFonts w:ascii="Arial" w:hAnsi="Arial" w:cs="Arial" w:eastAsia="Arial"/>
          <w:color w:val="333333"/>
          <w:sz w:val="21"/>
          <w:highlight w:val="none"/>
        </w:rPr>
        <w:t xml:space="preserve"> </w:t>
      </w:r>
      <w:r>
        <w:rPr>
          <w:rFonts w:ascii="Arial" w:hAnsi="Arial" w:cs="Arial" w:eastAsia="Arial"/>
          <w:color w:val="333333"/>
          <w:sz w:val="21"/>
          <w:highlight w:val="none"/>
        </w:rPr>
      </w:r>
    </w:p>
    <w:p>
      <w:pPr>
        <w:rPr>
          <w:rFonts w:ascii="Arial" w:hAnsi="Arial" w:cs="Arial" w:eastAsia="Arial"/>
          <w:sz w:val="21"/>
        </w:rPr>
      </w:pPr>
      <w:r>
        <w:rPr>
          <w:rFonts w:ascii="Arial" w:hAnsi="Arial" w:cs="Arial" w:eastAsia="Arial"/>
          <w:color w:val="333333"/>
          <w:sz w:val="21"/>
          <w:highlight w:val="none"/>
        </w:rPr>
      </w:r>
      <w:r>
        <w:rPr>
          <w:rFonts w:ascii="Arial" w:hAnsi="Arial" w:cs="Arial" w:eastAsia="Arial"/>
          <w:color w:val="333333"/>
          <w:sz w:val="21"/>
          <w:highlight w:val="none"/>
        </w:rPr>
      </w:r>
    </w:p>
    <w:p>
      <w:pPr>
        <w:rPr>
          <w:rFonts w:ascii="Arial" w:hAnsi="Arial" w:cs="Arial" w:eastAsia="Arial"/>
          <w:sz w:val="21"/>
        </w:rPr>
      </w:pPr>
      <w:r>
        <w:rPr>
          <w:highlight w:val="none"/>
        </w:rPr>
      </w:r>
      <w:r>
        <w:rPr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it-IT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5">
    <w:name w:val="Heading 1 Char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0"/>
    <w:next w:val="810"/>
    <w:link w:val="63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7">
    <w:name w:val="Heading 2 Char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0"/>
    <w:next w:val="810"/>
    <w:link w:val="63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39">
    <w:name w:val="Heading 3 Char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0"/>
    <w:next w:val="810"/>
    <w:link w:val="64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1">
    <w:name w:val="Heading 4 Char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3">
    <w:name w:val="Heading 5 Char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5">
    <w:name w:val="Heading 6 Char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7">
    <w:name w:val="Heading 7 Char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49">
    <w:name w:val="Heading 8 Char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1">
    <w:name w:val="Heading 9 Char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qFormat/>
    <w:uiPriority w:val="11"/>
    <w:rPr>
      <w:sz w:val="24"/>
      <w:szCs w:val="24"/>
    </w:rPr>
    <w:pPr>
      <w:spacing w:after="200" w:before="200"/>
    </w:p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qFormat/>
    <w:uiPriority w:val="29"/>
    <w:rPr>
      <w:i/>
    </w:rPr>
    <w:pPr>
      <w:ind w:left="720" w:right="720"/>
    </w:p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5">
    <w:name w:val="Grid Table 4 - Accent 1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96">
    <w:name w:val="Grid Table 4 - Accent 2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97">
    <w:name w:val="Grid Table 4 - Accent 3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698">
    <w:name w:val="Grid Table 4 - Accent 4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699">
    <w:name w:val="Grid Table 4 - Accent 5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0">
    <w:name w:val="Grid Table 4 - Accent 6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1">
    <w:name w:val="Grid Table 5 Dark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02">
    <w:name w:val="Grid Table 5 Dark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03">
    <w:name w:val="Grid Table 5 Dark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04">
    <w:name w:val="Grid Table 5 Dark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05">
    <w:name w:val="Grid Table 5 Dark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06">
    <w:name w:val="Grid Table 5 Dark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07">
    <w:name w:val="Grid Table 5 Dark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08">
    <w:name w:val="Grid Table 6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0">
    <w:name w:val="List Table 2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1">
    <w:name w:val="List Table 2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2">
    <w:name w:val="List Table 2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3">
    <w:name w:val="List Table 2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4">
    <w:name w:val="List Table 2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5">
    <w:name w:val="List Table 2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36">
    <w:name w:val="List Table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58">
    <w:name w:val="List Table 6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59">
    <w:name w:val="List Table 6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0">
    <w:name w:val="List Table 6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1">
    <w:name w:val="List Table 6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2">
    <w:name w:val="List Table 6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3">
    <w:name w:val="List Table 6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4">
    <w:name w:val="List Table 7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72">
    <w:name w:val="Lined - Accent 1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73">
    <w:name w:val="Lined - Accent 2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74">
    <w:name w:val="Lined - Accent 3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75">
    <w:name w:val="Lined - Accent 4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76">
    <w:name w:val="Lined - Accent 5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77">
    <w:name w:val="Lined - Accent 6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78">
    <w:name w:val="Bordered &amp; Lined - Accent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79">
    <w:name w:val="Bordered &amp; Lined - Accent 1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0">
    <w:name w:val="Bordered &amp; Lined - Accent 2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1">
    <w:name w:val="Bordered &amp; Lined - Accent 3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2">
    <w:name w:val="Bordered &amp; Lined - Accent 4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3">
    <w:name w:val="Bordered &amp; Lined - Accent 5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4">
    <w:name w:val="Bordered &amp; Lined - Accent 6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5">
    <w:name w:val="Bordered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86">
    <w:name w:val="Bordered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87">
    <w:name w:val="Bordered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88">
    <w:name w:val="Bordered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89">
    <w:name w:val="Bordered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0">
    <w:name w:val="Bordered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1">
    <w:name w:val="Bordered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rPr>
      <w:sz w:val="18"/>
    </w:rPr>
    <w:pPr>
      <w:spacing w:lineRule="auto" w:line="240" w:after="40"/>
    </w:p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rPr>
      <w:sz w:val="20"/>
    </w:rPr>
    <w:pPr>
      <w:spacing w:lineRule="auto" w:line="240" w:after="0"/>
    </w:p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qFormat/>
    <w:uiPriority w:val="1"/>
    <w:pPr>
      <w:spacing w:lineRule="auto" w:line="240" w:after="0"/>
    </w:pPr>
  </w:style>
  <w:style w:type="paragraph" w:styleId="814">
    <w:name w:val="List Paragraph"/>
    <w:basedOn w:val="810"/>
    <w:qFormat/>
    <w:uiPriority w:val="34"/>
    <w:pPr>
      <w:contextualSpacing w:val="true"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doi.org/10.2196/33653" TargetMode="External"/><Relationship Id="rId10" Type="http://schemas.openxmlformats.org/officeDocument/2006/relationships/hyperlink" Target="https://doi.org/10.2196/34385" TargetMode="External"/><Relationship Id="rId11" Type="http://schemas.openxmlformats.org/officeDocument/2006/relationships/hyperlink" Target="https://doi.org/10.5281/zenodo.6559205" TargetMode="External"/><Relationship Id="rId12" Type="http://schemas.openxmlformats.org/officeDocument/2006/relationships/hyperlink" Target="https://doi.org/10.5281/zenodo.5012680" TargetMode="External"/><Relationship Id="rId13" Type="http://schemas.openxmlformats.org/officeDocument/2006/relationships/hyperlink" Target="https://doi.org/10.5281/zenodo.4792778" TargetMode="External"/><Relationship Id="rId14" Type="http://schemas.openxmlformats.org/officeDocument/2006/relationships/hyperlink" Target="https://www.nlm.nih.gov/dr2/COVID-19_BSSR_Research_Tools.pdf" TargetMode="External"/><Relationship Id="rId15" Type="http://schemas.openxmlformats.org/officeDocument/2006/relationships/hyperlink" Target="https://doi.org/10.5281/zenodo.4792669" TargetMode="External"/><Relationship Id="rId16" Type="http://schemas.openxmlformats.org/officeDocument/2006/relationships/hyperlink" Target="https://doi.org/10.5281/zenodo.5534045" TargetMode="External"/><Relationship Id="rId17" Type="http://schemas.openxmlformats.org/officeDocument/2006/relationships/hyperlink" Target="http://www.publico.community" TargetMode="External"/><Relationship Id="rId18" Type="http://schemas.openxmlformats.org/officeDocument/2006/relationships/hyperlink" Target="https://www.ibme.uzh.ch/en/Biomedical-Ethics/Team/Chair-and-Secretariat/biller-andorno.html" TargetMode="External"/><Relationship Id="rId19" Type="http://schemas.openxmlformats.org/officeDocument/2006/relationships/hyperlink" Target="https://www.ibme.uzh.ch/en/Biomedical-Ethics/Team/Research-Fellows/Federico-Germani.html" TargetMode="External"/><Relationship Id="rId20" Type="http://schemas.openxmlformats.org/officeDocument/2006/relationships/hyperlink" Target="https://www.ibme.uzh.ch/en/Biomedical-Ethics/Team/PhD-Students/Current/MAIN-Giovanni-Spitale.htm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ONLYOFFICE/6.4.1.45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Giovanni Spitale (uzh.ch)</cp:lastModifiedBy>
  <cp:revision>2</cp:revision>
  <dcterms:modified xsi:type="dcterms:W3CDTF">2022-05-18T08:00:33Z</dcterms:modified>
</cp:coreProperties>
</file>